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ascii="Calibri" w:hAnsi="Calibri" w:eastAsia="Calibri" w:cs="Calibri"/>
          <w:highlight w:val="none"/>
        </w:rPr>
      </w:pPr>
      <w:r>
        <w:rPr>
          <w:rFonts w:ascii="Calibri" w:hAnsi="Calibri" w:eastAsia="Calibri" w:cs="Calibri"/>
          <w:b/>
        </w:rPr>
        <w:t xml:space="preserve">DISPENSA ELETRÔNICA </w:t>
      </w:r>
      <w:r>
        <w:rPr>
          <w:rFonts w:ascii="Calibri" w:hAnsi="Calibri" w:eastAsia="Calibri" w:cs="Calibri"/>
          <w:b/>
          <w:highlight w:val="none"/>
        </w:rPr>
        <w:t xml:space="preserve">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XX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hint="default" w:ascii="Calibri" w:hAnsi="Calibri" w:eastAsia="Calibri" w:cs="Calibri"/>
          <w:b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bookmarkStart w:id="1" w:name="_GoBack"/>
      <w:bookmarkEnd w:id="1"/>
      <w:r>
        <w:rPr>
          <w:rFonts w:hint="default" w:ascii="Calibri" w:hAnsi="Calibri" w:eastAsia="Calibri" w:cs="Calibri"/>
          <w:b/>
          <w:highlight w:val="none"/>
          <w:lang w:val="pt-BR"/>
        </w:rPr>
        <w:t>6.492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2761F2A3">
      <w:pPr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b/>
        </w:rPr>
        <w:t xml:space="preserve">MODALIDADE: </w:t>
      </w:r>
      <w:r>
        <w:rPr>
          <w:rFonts w:ascii="Calibri" w:hAnsi="Calibri" w:eastAsia="Calibri" w:cs="Calibri"/>
        </w:rPr>
        <w:t>DISPENSA ELETRÔNICA</w:t>
      </w:r>
    </w:p>
    <w:p w14:paraId="73A63087">
      <w:pPr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</w:rPr>
        <w:t xml:space="preserve">TIPO: </w:t>
      </w:r>
      <w:r>
        <w:rPr>
          <w:rFonts w:hint="default" w:ascii="Calibri" w:hAnsi="Calibri" w:eastAsia="Calibri" w:cs="Calibri"/>
          <w:b/>
          <w:bCs/>
          <w:highlight w:val="none"/>
          <w:lang w:val="pt-BR"/>
        </w:rPr>
        <w:t>Menor Preço por Item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</w:rPr>
      </w:pPr>
      <w:r>
        <w:rPr>
          <w:rFonts w:ascii="Calibri" w:hAnsi="Calibri" w:eastAsia="Calibri" w:cs="Calibri"/>
          <w:b/>
          <w:highlight w:val="none"/>
        </w:rPr>
        <w:t xml:space="preserve">OBJETO: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Aquisição de manequim adulto bissexual destinado às aulas práticas do laboratório da Escola de Auxiliares e Técnicos de Enfermagem Nossa Senhora de Fátima.</w:t>
      </w:r>
      <w:r>
        <w:rPr>
          <w:rFonts w:ascii="Calibri" w:hAnsi="Calibri" w:eastAsia="Calibri" w:cs="Calibri"/>
          <w:highlight w:val="none"/>
        </w:rPr>
        <w:tab/>
      </w:r>
      <w:r>
        <w:rPr>
          <w:rFonts w:ascii="Calibri" w:hAnsi="Calibri" w:eastAsia="Calibri" w:cs="Calibri"/>
        </w:rPr>
        <w:tab/>
      </w:r>
      <w:r>
        <w:rPr>
          <w:rFonts w:ascii="Calibri" w:hAnsi="Calibri" w:eastAsia="Calibri" w:cs="Calibri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</w:rPr>
      </w:pPr>
      <w:r>
        <w:rPr>
          <w:rFonts w:ascii="Calibri" w:hAnsi="Calibri" w:eastAsia="Calibri" w:cs="Calibri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</w:rPr>
      </w:pPr>
      <w:r>
        <w:rPr>
          <w:rFonts w:ascii="Calibri" w:hAnsi="Calibri" w:eastAsia="Calibri" w:cs="Calibri"/>
          <w:b/>
          <w:smallCaps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 nº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lang w:val="pt-BR"/>
        </w:rPr>
        <w:t xml:space="preserve">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XX/2025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>,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 em epígrafe, que tem por objeto a </w:t>
      </w:r>
      <w:r>
        <w:rPr>
          <w:rFonts w:hint="default" w:ascii="Calibri" w:hAnsi="Calibri" w:eastAsia="Calibri" w:cs="Calibri"/>
          <w:b/>
          <w:highlight w:val="none"/>
        </w:rPr>
        <w:t>Aquisição de manequim adulto bissexual destinado às aulas práticas do laboratório da Escola de Auxiliares e Técnicos de Enfermagem Nossa Senhora de Fátima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180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4000"/>
        <w:gridCol w:w="700"/>
        <w:gridCol w:w="600"/>
        <w:gridCol w:w="912"/>
        <w:gridCol w:w="1075"/>
        <w:gridCol w:w="1263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4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7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600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91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2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40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0F76AF">
            <w:pPr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between w:val="none" w:color="auto" w:sz="0" w:space="0"/>
              </w:pBdr>
              <w:ind w:left="0" w:firstLine="0"/>
              <w:rPr>
                <w:rFonts w:ascii="Calibri" w:hAnsi="Calibri" w:eastAsia="Calibri" w:cs="Calibri"/>
                <w:color w:val="000000"/>
                <w:sz w:val="20"/>
                <w:szCs w:val="20"/>
              </w:rPr>
            </w:pPr>
            <w:r>
              <w:rPr>
                <w:rFonts w:ascii="Calibri" w:hAnsi="Calibri" w:eastAsia="Calibri" w:cs="Calibri"/>
                <w:b/>
                <w:bCs/>
                <w:color w:val="000000"/>
                <w:sz w:val="20"/>
                <w:szCs w:val="20"/>
                <w:lang w:val="pt-BR"/>
              </w:rPr>
              <w:t>MANEQUIM ADULTO BISSEXUAL -</w:t>
            </w:r>
            <w:r>
              <w:rPr>
                <w:rFonts w:ascii="Calibri" w:hAnsi="Calibri" w:eastAsia="Calibri" w:cs="Calibri"/>
                <w:color w:val="000000"/>
                <w:sz w:val="20"/>
                <w:szCs w:val="20"/>
                <w:lang w:val="pt-BR"/>
              </w:rPr>
              <w:t xml:space="preserve"> Simulador que apresente estrutura anatômica com abertura da cavidade oral; que possibilite movimentos de hiperextensão da cabeça para treino de intubação orotraqueal e mostre orifício de traqueostomia; os membros superiores e inferiores devem ser articulados; deve conter almofadas para treino de injeção intramuscular na região deltóide, vasto lateral da coxa, glúteo e ventroglútea.  A região do tórax e abdômen com ostomias devem ser removíveis e conter órgãos internos como: pulmões, coração, estômago, intestino, bexiga urinária e órgãos genitais masculino e feminino intercambiáveis.  Deve acompanhar kit trauma com almofadas do tórax e abdômen com marcas de ferida operatória, almofada na região do vasto lateral da coxa com simulação de corte profundo, queimadura e sutura; pé com úlcera na região do calcâneo, ferida no dedo hálux. Confeccionado de PVC e poli elastômero.</w:t>
            </w:r>
          </w:p>
        </w:tc>
        <w:tc>
          <w:tcPr>
            <w:tcW w:w="7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color w:val="000000"/>
                <w:sz w:val="22"/>
                <w:szCs w:val="22"/>
                <w:lang w:val="pt-BR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</w:p>
        </w:tc>
        <w:tc>
          <w:tcPr>
            <w:tcW w:w="60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</w:t>
            </w:r>
          </w:p>
        </w:tc>
        <w:tc>
          <w:tcPr>
            <w:tcW w:w="9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7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26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9180" w:type="dxa"/>
            <w:gridSpan w:val="7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 validade desta proposta é de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A9E2DC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1" w:fontKey="{7A8C5F7F-8363-40D9-851B-C9DA73BBED11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2" w:fontKey="{02166098-0EBC-4E31-9A2D-93E1FD02B0A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3" w:fontKey="{041886FD-D1A1-4E63-A3F4-5742D548B157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4" w:fontKey="{96C2BB30-6C5C-46E0-A916-99E610523837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5" w:fontKey="{792877AE-DA45-421F-A22C-7C015CA4FE28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6" w:fontKey="{34E6BDD7-2730-4C33-8A90-9685D0E872A3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7" w:fontKey="{A9CB473D-E06D-4C47-8293-EF9AB3792874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8" w:fontKey="{5BDC67AC-9176-4E50-A686-2B8CB3226C4F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DD5CE0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hint="default" w:ascii="Arial" w:hAnsi="Arial" w:eastAsia="Arial" w:cs="Arial"/>
        <w:sz w:val="16"/>
        <w:szCs w:val="16"/>
        <w:lang w:val="pt-BR"/>
      </w:rPr>
    </w:pPr>
    <w:r>
      <w:rPr>
        <w:rFonts w:hint="default" w:ascii="Arial" w:hAnsi="Arial" w:eastAsia="Arial" w:cs="Arial"/>
        <w:sz w:val="16"/>
        <w:szCs w:val="16"/>
        <w:lang w:val="pt-BR"/>
      </w:rPr>
      <w:drawing>
        <wp:inline distT="0" distB="0" distL="114300" distR="114300">
          <wp:extent cx="5739130" cy="1163320"/>
          <wp:effectExtent l="0" t="0" r="0" b="0"/>
          <wp:docPr id="1" name="Imagem 1" descr="Imagem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Imagem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39130" cy="116332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documentProtection w:enforcement="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19CE6539"/>
    <w:rsid w:val="38004BA0"/>
    <w:rsid w:val="5CD70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333</Words>
  <Characters>2127</Characters>
  <Lines>9</Lines>
  <Paragraphs>2</Paragraphs>
  <TotalTime>1</TotalTime>
  <ScaleCrop>false</ScaleCrop>
  <LinksUpToDate>false</LinksUpToDate>
  <CharactersWithSpaces>2437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WPS_1775823325</cp:lastModifiedBy>
  <cp:lastPrinted>2025-07-16T20:34:00Z</cp:lastPrinted>
  <dcterms:modified xsi:type="dcterms:W3CDTF">2026-05-05T13:39:01Z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347FCFA362AC4ADE96FBB072894F7C39_13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